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Lesson Plan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Even Semester-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-202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Assistant Professor: </w:t>
      </w:r>
      <w:r>
        <w:rPr>
          <w:rFonts w:cs="Times New Roman" w:hAnsi="Times New Roman"/>
          <w:sz w:val="24"/>
          <w:szCs w:val="24"/>
          <w:lang w:val="en-US"/>
        </w:rPr>
        <w:t>Dr. Parveen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Subject: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Chemistry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B.Sc. Ist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Year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B23-CHE-201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(Non med)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Cs/>
          <w:sz w:val="24"/>
          <w:szCs w:val="24"/>
          <w:lang w:val="it-IT"/>
        </w:rPr>
      </w:pPr>
      <w:r>
        <w:rPr>
          <w:rFonts w:ascii="Times New Roman" w:cs="Times New Roman" w:hAnsi="Times New Roman"/>
          <w:b/>
          <w:sz w:val="24"/>
          <w:szCs w:val="24"/>
          <w:lang w:val="it-IT"/>
        </w:rPr>
        <w:t>B.Sc. Ist</w:t>
      </w:r>
      <w:r>
        <w:rPr>
          <w:rFonts w:ascii="Times New Roman" w:cs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it-IT"/>
        </w:rPr>
        <w:t>Year</w:t>
      </w:r>
      <w:r>
        <w:rPr>
          <w:rFonts w:ascii="Times New Roman" w:cs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it-IT"/>
        </w:rPr>
        <w:t>-</w:t>
      </w:r>
      <w:r>
        <w:rPr>
          <w:rFonts w:ascii="Times New Roman" w:cs="Times New Roman" w:hAnsi="Times New Roman"/>
          <w:b/>
          <w:sz w:val="24"/>
          <w:szCs w:val="24"/>
          <w:lang w:val="it-IT"/>
        </w:rPr>
        <w:t xml:space="preserve"> B23-C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HE-201 (MED)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  <w:lang w:val="it-IT"/>
        </w:rPr>
      </w:pPr>
    </w:p>
    <w:tbl>
      <w:tblPr>
        <w:tblStyle w:val="style154"/>
        <w:tblW w:w="9493" w:type="dxa"/>
        <w:tblLook w:val="04A0" w:firstRow="1" w:lastRow="0" w:firstColumn="1" w:lastColumn="0" w:noHBand="0" w:noVBand="1"/>
      </w:tblPr>
      <w:tblGrid>
        <w:gridCol w:w="1243"/>
        <w:gridCol w:w="8250"/>
      </w:tblGrid>
      <w:tr>
        <w:trPr/>
        <w:tc>
          <w:tcPr>
            <w:tcW w:w="12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8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Topic/ Chapter</w:t>
            </w:r>
          </w:p>
        </w:tc>
      </w:tr>
      <w:tr>
        <w:tblPrEx/>
        <w:trPr/>
        <w:tc>
          <w:tcPr>
            <w:tcW w:w="12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February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B23-CHE-201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>Alkanes and Cycloalkanes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Nomenclature, classification of carbon at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oms in alkanes and its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structure. Isomerism in alkanes, sources. Methods of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formation: Wurtz reaction, Kolbe reaction, Corey- House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reaction and decarboxylation of carboxylic acids, physical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properties. Mechanism of free radical halogenation of alkanes: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reactivity and selectivity.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Nomenclature of Cycloalkanes, Baeyer' s strain theory and its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limitations, theory of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strainless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rings.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>Alkenes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Nomenclature of alkenes and its structure. Methods of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formation: dehydration of alcohols, dehydrohalogenation of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alkyl halide, Hofmann elimination and their mechanism. The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Saytzeff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rule and relative stabilities of alkenes. Chemical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reactions: electrophilic and free radical additions, addition of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halogens, halogen acids, hydroboration–oxidation,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oxymercuration-reduction, ozonolysis and hydration.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  <w:lang w:val="en-IN"/>
              </w:rPr>
              <w:t>Markownikoff’s</w:t>
            </w:r>
            <w:r>
              <w:rPr>
                <w:rFonts w:ascii="Times New Roman" w:cs="Times New Roman" w:hAnsi="Times New Roman"/>
                <w:sz w:val="26"/>
                <w:szCs w:val="26"/>
                <w:lang w:val="en-IN"/>
              </w:rPr>
              <w:t xml:space="preserve"> rule of addition.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Cs/>
                <w:sz w:val="24"/>
                <w:szCs w:val="24"/>
                <w:lang w:bidi="hi-IN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(Assignments/test/problem discussion)</w:t>
            </w:r>
          </w:p>
        </w:tc>
      </w:tr>
      <w:tr>
        <w:tblPrEx/>
        <w:trPr/>
        <w:tc>
          <w:tcPr>
            <w:tcW w:w="12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B23-CHE-201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  <w:t>Hydrogen Bonding and Van der Waals forces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Hydrogen Bonding – Definition, types, effects of hydrogen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bonding on properties of substances, application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Brief discussion of various types of Van der Waals forces.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  <w:t>Metallic Bond and semiconductors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Metallic bond – Qualitative idea of valence bond and Band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theories of metallic bond (conductors, semiconductors,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insulators).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Semiconductors – Introduction, types, and applications.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  <w:t>Covalent Bond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Valence bond theory approach, shapes of simple inorganic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molecules and ions based on valence shell electron pair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repulsion (VSEPR) theory and hybridization with suitable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examples of linear, trigonal planar, square planar, tetrahedral,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trigonal bipyramidal and octahedral arrangements. Molecular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orbital theory of homonuclear (N</w:t>
            </w:r>
            <w:r>
              <w:rPr>
                <w:rFonts w:ascii="Times New Roman" w:cs="Times New Roman" w:hAnsi="Times New Roman"/>
                <w:sz w:val="16"/>
                <w:szCs w:val="16"/>
                <w:lang w:bidi="hi-IN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, O</w:t>
            </w:r>
            <w:r>
              <w:rPr>
                <w:rFonts w:ascii="Times New Roman" w:cs="Times New Roman" w:hAnsi="Times New Roman"/>
                <w:sz w:val="16"/>
                <w:szCs w:val="16"/>
                <w:lang w:bidi="hi-IN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) and heteronuclear (CO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and NO) diatomic molecules, dipole moment and percentage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ionic character in covalent bond.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(Assignments/test/problem discussion)</w:t>
            </w:r>
          </w:p>
        </w:tc>
      </w:tr>
      <w:tr>
        <w:tblPrEx/>
        <w:trPr/>
        <w:tc>
          <w:tcPr>
            <w:tcW w:w="12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B23-CHE-201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  <w:t>Ionic Solids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Ionic structures (NaCl,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CsCl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, ZnS (Zinc blende), CaF</w:t>
            </w:r>
            <w:r>
              <w:rPr>
                <w:rFonts w:ascii="Times New Roman" w:cs="Times New Roman" w:hAnsi="Times New Roman"/>
                <w:sz w:val="16"/>
                <w:szCs w:val="16"/>
                <w:lang w:bidi="hi-IN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) size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effects, radius ratio rule and its limitations, Concept of Lattice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energy, Born- Haber cycle, Solvation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energy and its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relationship with solubility of Ionic solids, Polarizing power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and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Polarisability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of ions,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Fajan’s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rule.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  <w:t>Chemical Kinetics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Concept of reaction rates, rate equation, factors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influencing the rate of reaction, Order and molecularity of a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reaction, integrated rate expression for zero, first, Half-life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period of a reaction, Arrhenius equation.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6"/>
                <w:szCs w:val="26"/>
                <w:lang w:bidi="hi-IN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(Assignments/test/problem discussion)</w:t>
            </w:r>
          </w:p>
        </w:tc>
      </w:tr>
      <w:tr>
        <w:tblPrEx/>
        <w:trPr/>
        <w:tc>
          <w:tcPr>
            <w:tcW w:w="12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B23-CHE-201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bidi="hi-IN"/>
              </w:rPr>
              <w:t>Distribution Law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Nernst distribution law – its thermodynamic derivation,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Nernst distribution law after association and dissociation of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solute in one of the phases, of distribution law: (i)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Determination of degree of hydrolysis and hydrolysis constant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bidi="hi-IN"/>
              </w:rPr>
              <w:t>of aniline hydrochloride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(Assignments/test/problem discussion)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7" w:h="16839" w:orient="portrait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518a6e0-df1e-47e6-8edf-16d9b3379e9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0e2c1b3-a7d2-4601-a531-bc0fc12c193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7000-EAF8-EA4C-AD63-81F94F7E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389</Words>
  <Pages>2</Pages>
  <Characters>2634</Characters>
  <Application>WPS Office</Application>
  <DocSecurity>0</DocSecurity>
  <Paragraphs>44</Paragraphs>
  <ScaleCrop>false</ScaleCrop>
  <Company>Grizli777</Company>
  <LinksUpToDate>false</LinksUpToDate>
  <CharactersWithSpaces>2993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2024-03-07T05:47:00Z</dcterms:created>
  <dc:creator>gn</dc:creator>
  <lastModifiedBy>22111317I</lastModifiedBy>
  <lastPrinted>2021-01-14T07:02:00Z</lastPrinted>
  <dcterms:modified xsi:type="dcterms:W3CDTF">2024-03-09T03:17:53Z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68ac624504314d1dbe4aa103c83ebf27</vt:lpwstr>
  </property>
</Properties>
</file>